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pPr>
      <w:bookmarkStart w:colFirst="0" w:colLast="0" w:name="_heading=h.rzs2fi6ewwft" w:id="0"/>
      <w:bookmarkEnd w:id="0"/>
      <w:r w:rsidDel="00000000" w:rsidR="00000000" w:rsidRPr="00000000">
        <w:rPr>
          <w:rtl w:val="0"/>
        </w:rPr>
        <w:t xml:space="preserve">Specifications of a diamond beam position monitor at TPS 14A beamline</w:t>
      </w:r>
    </w:p>
    <w:p w:rsidR="00000000" w:rsidDel="00000000" w:rsidP="00000000" w:rsidRDefault="00000000" w:rsidRPr="00000000" w14:paraId="00000002">
      <w:pPr>
        <w:pStyle w:val="Subtitle"/>
        <w:rPr/>
      </w:pPr>
      <w:bookmarkStart w:colFirst="0" w:colLast="0" w:name="_heading=h.tdjdbhy4xwb3" w:id="1"/>
      <w:bookmarkEnd w:id="1"/>
      <w:r w:rsidDel="00000000" w:rsidR="00000000" w:rsidRPr="00000000">
        <w:rPr>
          <w:rtl w:val="0"/>
        </w:rPr>
        <w:t xml:space="preserve">National Synchrotron Radiation Research Center</w:t>
      </w:r>
    </w:p>
    <w:p w:rsidR="00000000" w:rsidDel="00000000" w:rsidP="00000000" w:rsidRDefault="00000000" w:rsidRPr="00000000" w14:paraId="00000003">
      <w:pPr>
        <w:pStyle w:val="Subtitle"/>
        <w:rPr/>
      </w:pPr>
      <w:bookmarkStart w:colFirst="0" w:colLast="0" w:name="_heading=h.f1kv4gh65voh" w:id="2"/>
      <w:bookmarkEnd w:id="2"/>
      <w:r w:rsidDel="00000000" w:rsidR="00000000" w:rsidRPr="00000000">
        <w:rPr>
          <w:rtl w:val="0"/>
        </w:rPr>
        <w:t xml:space="preserve">101 Hsin-Ann Rd., Hsinchu 30076, Taiwan</w:t>
      </w:r>
    </w:p>
    <w:p w:rsidR="00000000" w:rsidDel="00000000" w:rsidP="00000000" w:rsidRDefault="00000000" w:rsidRPr="00000000" w14:paraId="00000004">
      <w:pPr>
        <w:rPr>
          <w:rFonts w:ascii="Arimo" w:cs="Arimo" w:eastAsia="Arimo" w:hAnsi="Arimo"/>
        </w:rPr>
      </w:pPr>
      <w:sdt>
        <w:sdtPr>
          <w:id w:val="-1874341785"/>
          <w:tag w:val="goog_rdk_0"/>
        </w:sdtPr>
        <w:sdtContent>
          <w:r w:rsidDel="00000000" w:rsidR="00000000" w:rsidRPr="00000000">
            <w:rPr>
              <w:rFonts w:ascii="Arial Unicode MS" w:cs="Arial Unicode MS" w:eastAsia="Arial Unicode MS" w:hAnsi="Arial Unicode MS"/>
              <w:rtl w:val="0"/>
            </w:rPr>
            <w:t xml:space="preserve">2026年4月7日</w:t>
          </w:r>
        </w:sdtContent>
      </w:sdt>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The National Synchrotron Radiation Research Center(hereinafter referred to as "NSRRC") </w:t>
      </w:r>
    </w:p>
    <w:p w:rsidR="00000000" w:rsidDel="00000000" w:rsidP="00000000" w:rsidRDefault="00000000" w:rsidRPr="00000000" w14:paraId="00000007">
      <w:pPr>
        <w:rPr/>
      </w:pPr>
      <w:sdt>
        <w:sdtPr>
          <w:id w:val="1618936107"/>
          <w:tag w:val="goog_rdk_1"/>
        </w:sdtPr>
        <w:sdtContent>
          <w:r w:rsidDel="00000000" w:rsidR="00000000" w:rsidRPr="00000000">
            <w:rPr>
              <w:rFonts w:ascii="Arial Unicode MS" w:cs="Arial Unicode MS" w:eastAsia="Arial Unicode MS" w:hAnsi="Arial Unicode MS"/>
              <w:rtl w:val="0"/>
            </w:rPr>
            <w:t xml:space="preserve">shall be pleased to receive full details of your quotation in accordance with the following terms and conditions：</w:t>
          </w:r>
        </w:sdtContent>
      </w:sdt>
      <w:r w:rsidDel="00000000" w:rsidR="00000000" w:rsidRPr="00000000">
        <w:rPr>
          <w:rtl w:val="0"/>
        </w:rPr>
      </w:r>
    </w:p>
    <w:p w:rsidR="00000000" w:rsidDel="00000000" w:rsidP="00000000" w:rsidRDefault="00000000" w:rsidRPr="00000000" w14:paraId="00000008">
      <w:pPr>
        <w:pStyle w:val="Heading1"/>
        <w:rPr/>
      </w:pPr>
      <w:bookmarkStart w:colFirst="0" w:colLast="0" w:name="_heading=h.76y1q0phhy1j" w:id="3"/>
      <w:bookmarkEnd w:id="3"/>
      <w:r w:rsidDel="00000000" w:rsidR="00000000" w:rsidRPr="00000000">
        <w:rPr>
          <w:rtl w:val="0"/>
        </w:rPr>
        <w:t xml:space="preserve">Overviews</w:t>
      </w:r>
    </w:p>
    <w:p w:rsidR="00000000" w:rsidDel="00000000" w:rsidP="00000000" w:rsidRDefault="00000000" w:rsidRPr="00000000" w14:paraId="00000009">
      <w:pPr>
        <w:rPr/>
      </w:pPr>
      <w:r w:rsidDel="00000000" w:rsidR="00000000" w:rsidRPr="00000000">
        <w:rPr>
          <w:rtl w:val="0"/>
        </w:rPr>
        <w:t xml:space="preserve">The document is for the bid of one diamond beam position monitor at TPS 14A beamline at  Taiwan Photon Source in Hsinchu Taiwan.</w:t>
      </w:r>
    </w:p>
    <w:p w:rsidR="00000000" w:rsidDel="00000000" w:rsidP="00000000" w:rsidRDefault="00000000" w:rsidRPr="00000000" w14:paraId="0000000A">
      <w:pPr>
        <w:pStyle w:val="Heading1"/>
        <w:rPr/>
      </w:pPr>
      <w:bookmarkStart w:colFirst="0" w:colLast="0" w:name="_heading=h.iax856jdukdc" w:id="4"/>
      <w:bookmarkEnd w:id="4"/>
      <w:r w:rsidDel="00000000" w:rsidR="00000000" w:rsidRPr="00000000">
        <w:rPr>
          <w:rtl w:val="0"/>
        </w:rPr>
        <w:t xml:space="preserve">Scope of the contract</w:t>
      </w:r>
    </w:p>
    <w:p w:rsidR="00000000" w:rsidDel="00000000" w:rsidP="00000000" w:rsidRDefault="00000000" w:rsidRPr="00000000" w14:paraId="0000000B">
      <w:pPr>
        <w:rPr/>
      </w:pPr>
      <w:r w:rsidDel="00000000" w:rsidR="00000000" w:rsidRPr="00000000">
        <w:rPr>
          <w:rtl w:val="0"/>
        </w:rPr>
        <w:t xml:space="preserve">The vendor should provide:</w:t>
      </w:r>
    </w:p>
    <w:p w:rsidR="00000000" w:rsidDel="00000000" w:rsidP="00000000" w:rsidRDefault="00000000" w:rsidRPr="00000000" w14:paraId="0000000C">
      <w:pPr>
        <w:numPr>
          <w:ilvl w:val="0"/>
          <w:numId w:val="7"/>
        </w:numPr>
        <w:ind w:left="720" w:hanging="360"/>
        <w:rPr/>
      </w:pPr>
      <w:r w:rsidDel="00000000" w:rsidR="00000000" w:rsidRPr="00000000">
        <w:rPr>
          <w:rtl w:val="0"/>
        </w:rPr>
        <w:t xml:space="preserve">One diamond beam position monitors for the monochromatic beam at TPS 14A beamline.</w:t>
      </w:r>
      <w:r w:rsidDel="00000000" w:rsidR="00000000" w:rsidRPr="00000000">
        <w:rPr>
          <w:rtl w:val="0"/>
        </w:rPr>
      </w:r>
    </w:p>
    <w:p w:rsidR="00000000" w:rsidDel="00000000" w:rsidP="00000000" w:rsidRDefault="00000000" w:rsidRPr="00000000" w14:paraId="0000000D">
      <w:pPr>
        <w:numPr>
          <w:ilvl w:val="0"/>
          <w:numId w:val="7"/>
        </w:numPr>
        <w:ind w:left="720" w:hanging="360"/>
        <w:rPr/>
      </w:pPr>
      <w:r w:rsidDel="00000000" w:rsidR="00000000" w:rsidRPr="00000000">
        <w:rPr>
          <w:rtl w:val="0"/>
        </w:rPr>
        <w:t xml:space="preserve">Factory test report.</w:t>
      </w:r>
    </w:p>
    <w:p w:rsidR="00000000" w:rsidDel="00000000" w:rsidP="00000000" w:rsidRDefault="00000000" w:rsidRPr="00000000" w14:paraId="0000000E">
      <w:pPr>
        <w:pStyle w:val="Heading1"/>
        <w:rPr/>
      </w:pPr>
      <w:bookmarkStart w:colFirst="0" w:colLast="0" w:name="_heading=h.300cd0ne6sez" w:id="5"/>
      <w:bookmarkEnd w:id="5"/>
      <w:r w:rsidDel="00000000" w:rsidR="00000000" w:rsidRPr="00000000">
        <w:rPr>
          <w:rtl w:val="0"/>
        </w:rPr>
        <w:t xml:space="preserve">Technical description</w:t>
      </w:r>
    </w:p>
    <w:p w:rsidR="00000000" w:rsidDel="00000000" w:rsidP="00000000" w:rsidRDefault="00000000" w:rsidRPr="00000000" w14:paraId="0000000F">
      <w:pPr>
        <w:rPr/>
      </w:pPr>
      <w:r w:rsidDel="00000000" w:rsidR="00000000" w:rsidRPr="00000000">
        <w:rPr>
          <w:rtl w:val="0"/>
        </w:rPr>
        <w:t xml:space="preserve">Small angle X-ray scattering (SAXS), a scattering tool of atomic spatial resolution</w:t>
      </w:r>
    </w:p>
    <w:p w:rsidR="00000000" w:rsidDel="00000000" w:rsidP="00000000" w:rsidRDefault="00000000" w:rsidRPr="00000000" w14:paraId="00000010">
      <w:pPr>
        <w:rPr/>
      </w:pPr>
      <w:r w:rsidDel="00000000" w:rsidR="00000000" w:rsidRPr="00000000">
        <w:rPr>
          <w:rtl w:val="0"/>
        </w:rPr>
        <w:t xml:space="preserve">and high penetration power, provides a non-destructive scattering tool in structure</w:t>
      </w:r>
    </w:p>
    <w:p w:rsidR="00000000" w:rsidDel="00000000" w:rsidP="00000000" w:rsidRDefault="00000000" w:rsidRPr="00000000" w14:paraId="00000011">
      <w:pPr>
        <w:rPr/>
      </w:pPr>
      <w:r w:rsidDel="00000000" w:rsidR="00000000" w:rsidRPr="00000000">
        <w:rPr>
          <w:rtl w:val="0"/>
        </w:rPr>
        <w:t xml:space="preserve">characterization for surfaces, interfaces, as well as bulks, and is a complementary technique to direct imaging tools such as TEM, SEM, and AFM in nano to sub-micron structure research. TPS 14A beamline will be dedicated to SAXS experiments. Its source is a 1.19T bending magnet. The acceptance of the beamline is 1.0mradX0.15mrad(HxV). Considering SAXS is eager for photons, the first optics is a double multilayer monochromator(DMM) due to its higher band-pass of energy. The DMM is located 22.4m from the source. After the DMM, a toroid focusing mirror(TFM) is used to image the source to the surface of the detector at 50m. The Q factor(scattering vector) of SAXS highly depends on the divergence of the incident beam. The beam divergence increases with optical magnification. In order to maintain the small divergence of the source, the TFM is placed at 26m from the source and the magnification is close to one. Considering the required Q factor, the sample position is at 45m and a defining slits placed upstream is used to control the beam divergence. A plane mirror(PM) placed at 28m is utilized to suppress high harmonics and make the beam parallel to the ground. Due to the working energy being 9keV to 20keV, the TFM has a Rh reflection surface and PM has three reflection stripes-Pt, Rh and Si. The grazing angles of the both mirrors are 4.0mrad. The beamline layout is shown in Figure 1.</w:t>
      </w:r>
    </w:p>
    <w:p w:rsidR="00000000" w:rsidDel="00000000" w:rsidP="00000000" w:rsidRDefault="00000000" w:rsidRPr="00000000" w14:paraId="00000012">
      <w:pPr>
        <w:rPr/>
      </w:pPr>
      <w:r w:rsidDel="00000000" w:rsidR="00000000" w:rsidRPr="00000000">
        <w:rPr>
          <w:rtl w:val="0"/>
        </w:rPr>
        <w:t xml:space="preserve">Because the Q factor is sensitive to the incident angle, four beam position monitors will be installed at the beamline. One is to monitor the white beam and the other three are for the monochromatic beam. They are named DBPM 1, DBPM 2, DBPM 3 and DBPM 4. This document is for the bid of DBPM 4 around 32.5m. The specifications are listed in the following section.</w:t>
      </w:r>
    </w:p>
    <w:p w:rsidR="00000000" w:rsidDel="00000000" w:rsidP="00000000" w:rsidRDefault="00000000" w:rsidRPr="00000000" w14:paraId="00000013">
      <w:pPr>
        <w:rPr/>
      </w:pP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19052</wp:posOffset>
                </wp:positionH>
                <wp:positionV relativeFrom="paragraph">
                  <wp:posOffset>203788</wp:posOffset>
                </wp:positionV>
                <wp:extent cx="5605463" cy="4588879"/>
                <wp:effectExtent b="0" l="0" r="0" t="0"/>
                <wp:wrapTopAndBottom distB="114300" distT="114300"/>
                <wp:docPr id="7" name=""/>
                <a:graphic>
                  <a:graphicData uri="http://schemas.microsoft.com/office/word/2010/wordprocessingGroup">
                    <wpg:wgp>
                      <wpg:cNvGrpSpPr/>
                      <wpg:grpSpPr>
                        <a:xfrm>
                          <a:off x="2543250" y="1626200"/>
                          <a:ext cx="5605463" cy="4588879"/>
                          <a:chOff x="2543250" y="1626200"/>
                          <a:chExt cx="5605500" cy="4585575"/>
                        </a:xfrm>
                      </wpg:grpSpPr>
                      <wpg:grpSp>
                        <wpg:cNvGrpSpPr/>
                        <wpg:grpSpPr>
                          <a:xfrm>
                            <a:off x="2543269" y="1626213"/>
                            <a:ext cx="5605463" cy="4585556"/>
                            <a:chOff x="315550" y="-90600"/>
                            <a:chExt cx="10060900" cy="8240764"/>
                          </a:xfrm>
                        </wpg:grpSpPr>
                        <wps:wsp>
                          <wps:cNvSpPr/>
                          <wps:cNvPr id="3" name="Shape 3"/>
                          <wps:spPr>
                            <a:xfrm>
                              <a:off x="315550" y="0"/>
                              <a:ext cx="10060900" cy="7560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 name="Shape 7"/>
                          <wps:spPr>
                            <a:xfrm>
                              <a:off x="1257133" y="7111264"/>
                              <a:ext cx="8395500" cy="1038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32"/>
                                    <w:vertAlign w:val="baseline"/>
                                  </w:rPr>
                                  <w:t xml:space="preserve">Figure 1:Beamline layout of TPS 14A beamline.</w:t>
                                </w:r>
                              </w:p>
                            </w:txbxContent>
                          </wps:txbx>
                          <wps:bodyPr anchorCtr="0" anchor="t" bIns="91425" lIns="91425" spcFirstLastPara="1" rIns="91425" wrap="square" tIns="91425">
                            <a:noAutofit/>
                          </wps:bodyPr>
                        </wps:wsp>
                        <pic:pic>
                          <pic:nvPicPr>
                            <pic:cNvPr id="8" name="Shape 8"/>
                            <pic:cNvPicPr preferRelativeResize="0"/>
                          </pic:nvPicPr>
                          <pic:blipFill rotWithShape="1">
                            <a:blip r:embed="rId7">
                              <a:alphaModFix/>
                            </a:blip>
                            <a:srcRect b="0" l="0" r="0" t="0"/>
                            <a:stretch/>
                          </pic:blipFill>
                          <pic:spPr>
                            <a:xfrm>
                              <a:off x="315550" y="-90600"/>
                              <a:ext cx="10060897" cy="7201798"/>
                            </a:xfrm>
                            <a:prstGeom prst="rect">
                              <a:avLst/>
                            </a:prstGeom>
                            <a:noFill/>
                            <a:ln>
                              <a:noFill/>
                            </a:ln>
                          </pic:spPr>
                        </pic:pic>
                      </wpg:grpSp>
                    </wpg:wgp>
                  </a:graphicData>
                </a:graphic>
              </wp:anchor>
            </w:drawing>
          </mc:Choice>
          <mc:Fallback>
            <w:drawing>
              <wp:anchor allowOverlap="1" behindDoc="0" distB="114300" distT="114300" distL="114300" distR="114300" hidden="0" layoutInCell="1" locked="0" relativeHeight="0" simplePos="0">
                <wp:simplePos x="0" y="0"/>
                <wp:positionH relativeFrom="column">
                  <wp:posOffset>19052</wp:posOffset>
                </wp:positionH>
                <wp:positionV relativeFrom="paragraph">
                  <wp:posOffset>203788</wp:posOffset>
                </wp:positionV>
                <wp:extent cx="5605463" cy="4588879"/>
                <wp:effectExtent b="0" l="0" r="0" t="0"/>
                <wp:wrapTopAndBottom distB="114300" distT="114300"/>
                <wp:docPr id="7"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5605463" cy="4588879"/>
                        </a:xfrm>
                        <a:prstGeom prst="rect"/>
                        <a:ln/>
                      </pic:spPr>
                    </pic:pic>
                  </a:graphicData>
                </a:graphic>
              </wp:anchor>
            </w:drawing>
          </mc:Fallback>
        </mc:AlternateContent>
      </w:r>
    </w:p>
    <w:p w:rsidR="00000000" w:rsidDel="00000000" w:rsidP="00000000" w:rsidRDefault="00000000" w:rsidRPr="00000000" w14:paraId="00000014">
      <w:pPr>
        <w:pStyle w:val="Heading1"/>
        <w:rPr/>
      </w:pPr>
      <w:bookmarkStart w:colFirst="0" w:colLast="0" w:name="_heading=h.nweg06qa5zq0" w:id="6"/>
      <w:bookmarkEnd w:id="6"/>
      <w:r w:rsidDel="00000000" w:rsidR="00000000" w:rsidRPr="00000000">
        <w:rPr>
          <w:rtl w:val="0"/>
        </w:rPr>
        <w:t xml:space="preserve">Coordinate System</w:t>
      </w:r>
    </w:p>
    <w:p w:rsidR="00000000" w:rsidDel="00000000" w:rsidP="00000000" w:rsidRDefault="00000000" w:rsidRPr="00000000" w14:paraId="00000015">
      <w:pPr>
        <w:rPr/>
      </w:pPr>
      <w:r w:rsidDel="00000000" w:rsidR="00000000" w:rsidRPr="00000000">
        <w:rPr>
          <w:rtl w:val="0"/>
        </w:rPr>
        <w:t xml:space="preserve">Laboratory Coordinate is listed below:</w:t>
      </w:r>
    </w:p>
    <w:p w:rsidR="00000000" w:rsidDel="00000000" w:rsidP="00000000" w:rsidRDefault="00000000" w:rsidRPr="00000000" w14:paraId="00000016">
      <w:pPr>
        <w:numPr>
          <w:ilvl w:val="0"/>
          <w:numId w:val="5"/>
        </w:numPr>
        <w:ind w:left="720" w:hanging="360"/>
        <w:rPr/>
      </w:pPr>
      <w:r w:rsidDel="00000000" w:rsidR="00000000" w:rsidRPr="00000000">
        <w:rPr>
          <w:rtl w:val="0"/>
        </w:rPr>
        <w:t xml:space="preserve">The beam propagation coincides with the Y axis.</w:t>
      </w:r>
    </w:p>
    <w:p w:rsidR="00000000" w:rsidDel="00000000" w:rsidP="00000000" w:rsidRDefault="00000000" w:rsidRPr="00000000" w14:paraId="00000017">
      <w:pPr>
        <w:numPr>
          <w:ilvl w:val="0"/>
          <w:numId w:val="5"/>
        </w:numPr>
        <w:ind w:left="720" w:hanging="360"/>
        <w:rPr/>
      </w:pPr>
      <w:r w:rsidDel="00000000" w:rsidR="00000000" w:rsidRPr="00000000">
        <w:rPr>
          <w:rtl w:val="0"/>
        </w:rPr>
        <w:t xml:space="preserve">Z axis shows the vertical direction.</w:t>
      </w:r>
    </w:p>
    <w:p w:rsidR="00000000" w:rsidDel="00000000" w:rsidP="00000000" w:rsidRDefault="00000000" w:rsidRPr="00000000" w14:paraId="00000018">
      <w:pPr>
        <w:numPr>
          <w:ilvl w:val="0"/>
          <w:numId w:val="5"/>
        </w:numPr>
        <w:ind w:left="720" w:hanging="360"/>
        <w:rPr/>
      </w:pPr>
      <w:r w:rsidDel="00000000" w:rsidR="00000000" w:rsidRPr="00000000">
        <w:rPr>
          <w:rtl w:val="0"/>
        </w:rPr>
        <w:t xml:space="preserve">X axis is perpendicular to both Y and Z axes.</w:t>
      </w:r>
    </w:p>
    <w:p w:rsidR="00000000" w:rsidDel="00000000" w:rsidP="00000000" w:rsidRDefault="00000000" w:rsidRPr="00000000" w14:paraId="00000019">
      <w:pPr>
        <w:numPr>
          <w:ilvl w:val="0"/>
          <w:numId w:val="5"/>
        </w:numPr>
        <w:ind w:left="720" w:hanging="360"/>
        <w:rPr/>
      </w:pPr>
      <w:r w:rsidDel="00000000" w:rsidR="00000000" w:rsidRPr="00000000">
        <w:rPr>
          <w:rtl w:val="0"/>
        </w:rPr>
        <w:t xml:space="preserve">Pitch(θ): rotation  around X axis.</w:t>
      </w:r>
    </w:p>
    <w:p w:rsidR="00000000" w:rsidDel="00000000" w:rsidP="00000000" w:rsidRDefault="00000000" w:rsidRPr="00000000" w14:paraId="0000001A">
      <w:pPr>
        <w:numPr>
          <w:ilvl w:val="0"/>
          <w:numId w:val="5"/>
        </w:numPr>
        <w:ind w:left="720" w:hanging="360"/>
        <w:rPr/>
      </w:pPr>
      <w:r w:rsidDel="00000000" w:rsidR="00000000" w:rsidRPr="00000000">
        <w:rPr>
          <w:rtl w:val="0"/>
        </w:rPr>
        <w:t xml:space="preserve">Roll(χ):  rotation around Y axis.</w:t>
      </w:r>
    </w:p>
    <w:p w:rsidR="00000000" w:rsidDel="00000000" w:rsidP="00000000" w:rsidRDefault="00000000" w:rsidRPr="00000000" w14:paraId="0000001B">
      <w:pPr>
        <w:numPr>
          <w:ilvl w:val="0"/>
          <w:numId w:val="5"/>
        </w:numPr>
        <w:ind w:left="720" w:hanging="360"/>
        <w:rPr/>
      </w:pPr>
      <w:r w:rsidDel="00000000" w:rsidR="00000000" w:rsidRPr="00000000">
        <w:rPr>
          <w:rtl w:val="0"/>
        </w:rPr>
        <w:t xml:space="preserve">Yaw(φ): rotation around the Z axis.</w:t>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t xml:space="preserve">The definitions of the coordinate axes fixed to the mirror are listed below:</w:t>
      </w:r>
    </w:p>
    <w:p w:rsidR="00000000" w:rsidDel="00000000" w:rsidP="00000000" w:rsidRDefault="00000000" w:rsidRPr="00000000" w14:paraId="0000001E">
      <w:pPr>
        <w:numPr>
          <w:ilvl w:val="0"/>
          <w:numId w:val="3"/>
        </w:numPr>
        <w:ind w:left="720" w:hanging="360"/>
        <w:rPr/>
      </w:pPr>
      <w:r w:rsidDel="00000000" w:rsidR="00000000" w:rsidRPr="00000000">
        <w:rPr>
          <w:rtl w:val="0"/>
        </w:rPr>
        <w:t xml:space="preserve">X is the sagittal direction, i.e. along the mirror surface transverse to the reflection/diffraction plane.  </w:t>
      </w:r>
    </w:p>
    <w:p w:rsidR="00000000" w:rsidDel="00000000" w:rsidP="00000000" w:rsidRDefault="00000000" w:rsidRPr="00000000" w14:paraId="0000001F">
      <w:pPr>
        <w:numPr>
          <w:ilvl w:val="0"/>
          <w:numId w:val="3"/>
        </w:numPr>
        <w:ind w:left="720" w:hanging="360"/>
        <w:rPr/>
      </w:pPr>
      <w:r w:rsidDel="00000000" w:rsidR="00000000" w:rsidRPr="00000000">
        <w:rPr>
          <w:rtl w:val="0"/>
        </w:rPr>
        <w:t xml:space="preserve">Y is in the meridional direction i.e. along the mirror surface within the reflection/diffraction plane.</w:t>
      </w:r>
    </w:p>
    <w:p w:rsidR="00000000" w:rsidDel="00000000" w:rsidP="00000000" w:rsidRDefault="00000000" w:rsidRPr="00000000" w14:paraId="00000020">
      <w:pPr>
        <w:numPr>
          <w:ilvl w:val="0"/>
          <w:numId w:val="3"/>
        </w:numPr>
        <w:ind w:left="720" w:hanging="360"/>
        <w:rPr/>
      </w:pPr>
      <w:r w:rsidDel="00000000" w:rsidR="00000000" w:rsidRPr="00000000">
        <w:rPr>
          <w:rtl w:val="0"/>
        </w:rPr>
        <w:t xml:space="preserve">Z points away from, and is normal to the mirror, i.e. along the mirror surface normal.</w:t>
      </w:r>
    </w:p>
    <w:p w:rsidR="00000000" w:rsidDel="00000000" w:rsidP="00000000" w:rsidRDefault="00000000" w:rsidRPr="00000000" w14:paraId="00000021">
      <w:pPr>
        <w:numPr>
          <w:ilvl w:val="0"/>
          <w:numId w:val="3"/>
        </w:numPr>
        <w:ind w:left="720" w:hanging="360"/>
        <w:rPr/>
      </w:pPr>
      <w:r w:rsidDel="00000000" w:rsidR="00000000" w:rsidRPr="00000000">
        <w:rPr>
          <w:rtl w:val="0"/>
        </w:rPr>
        <w:t xml:space="preserve">Pitch(θ</w:t>
      </w:r>
      <w:r w:rsidDel="00000000" w:rsidR="00000000" w:rsidRPr="00000000">
        <w:rPr>
          <w:vertAlign w:val="subscript"/>
          <w:rtl w:val="0"/>
        </w:rPr>
        <w:t xml:space="preserve">g</w:t>
      </w:r>
      <w:r w:rsidDel="00000000" w:rsidR="00000000" w:rsidRPr="00000000">
        <w:rPr>
          <w:rtl w:val="0"/>
        </w:rPr>
        <w:t xml:space="preserve">): rotation around X axis(grazing angle).</w:t>
      </w:r>
    </w:p>
    <w:p w:rsidR="00000000" w:rsidDel="00000000" w:rsidP="00000000" w:rsidRDefault="00000000" w:rsidRPr="00000000" w14:paraId="00000022">
      <w:pPr>
        <w:numPr>
          <w:ilvl w:val="0"/>
          <w:numId w:val="3"/>
        </w:numPr>
        <w:ind w:left="720" w:hanging="360"/>
        <w:rPr/>
      </w:pPr>
      <w:r w:rsidDel="00000000" w:rsidR="00000000" w:rsidRPr="00000000">
        <w:rPr>
          <w:rtl w:val="0"/>
        </w:rPr>
        <w:t xml:space="preserve">Roll(χ):  rotation around Y axis.</w:t>
      </w:r>
    </w:p>
    <w:p w:rsidR="00000000" w:rsidDel="00000000" w:rsidP="00000000" w:rsidRDefault="00000000" w:rsidRPr="00000000" w14:paraId="00000023">
      <w:pPr>
        <w:numPr>
          <w:ilvl w:val="0"/>
          <w:numId w:val="3"/>
        </w:numPr>
        <w:ind w:left="720" w:hanging="360"/>
        <w:rPr/>
      </w:pPr>
      <w:r w:rsidDel="00000000" w:rsidR="00000000" w:rsidRPr="00000000">
        <w:rPr>
          <w:rtl w:val="0"/>
        </w:rPr>
        <w:t xml:space="preserve">Yaw(φ): rotation around the Z axis.</w:t>
      </w:r>
    </w:p>
    <w:p w:rsidR="00000000" w:rsidDel="00000000" w:rsidP="00000000" w:rsidRDefault="00000000" w:rsidRPr="00000000" w14:paraId="00000024">
      <w:pPr>
        <w:pStyle w:val="Heading1"/>
        <w:rPr/>
      </w:pPr>
      <w:bookmarkStart w:colFirst="0" w:colLast="0" w:name="_heading=h.izm1xd23qc7m" w:id="7"/>
      <w:bookmarkEnd w:id="7"/>
      <w:r w:rsidDel="00000000" w:rsidR="00000000" w:rsidRPr="00000000">
        <w:rPr>
          <w:rtl w:val="0"/>
        </w:rPr>
        <w:t xml:space="preserve">Specifications</w:t>
      </w:r>
    </w:p>
    <w:p w:rsidR="00000000" w:rsidDel="00000000" w:rsidP="00000000" w:rsidRDefault="00000000" w:rsidRPr="00000000" w14:paraId="00000025">
      <w:pPr>
        <w:rPr/>
      </w:pPr>
      <w:r w:rsidDel="00000000" w:rsidR="00000000" w:rsidRPr="00000000">
        <w:rPr>
          <w:rtl w:val="0"/>
        </w:rPr>
        <w:t xml:space="preserve">The conceptual drawing of the monochromatic beam position monitor(DBPM 4) in Figure 3-1 and 3-2. Their specifications are listed below:</w:t>
      </w:r>
    </w:p>
    <w:p w:rsidR="00000000" w:rsidDel="00000000" w:rsidP="00000000" w:rsidRDefault="00000000" w:rsidRPr="00000000" w14:paraId="00000026">
      <w:pPr>
        <w:numPr>
          <w:ilvl w:val="0"/>
          <w:numId w:val="8"/>
        </w:numPr>
        <w:ind w:left="720" w:hanging="360"/>
        <w:rPr/>
      </w:pPr>
      <w:r w:rsidDel="00000000" w:rsidR="00000000" w:rsidRPr="00000000">
        <w:rPr>
          <w:rtl w:val="0"/>
        </w:rPr>
        <w:t xml:space="preserve">Quantity: 1.</w:t>
      </w:r>
    </w:p>
    <w:p w:rsidR="00000000" w:rsidDel="00000000" w:rsidP="00000000" w:rsidRDefault="00000000" w:rsidRPr="00000000" w14:paraId="00000027">
      <w:pPr>
        <w:numPr>
          <w:ilvl w:val="0"/>
          <w:numId w:val="8"/>
        </w:numPr>
        <w:ind w:left="720" w:hanging="360"/>
        <w:rPr/>
      </w:pPr>
      <w:r w:rsidDel="00000000" w:rsidR="00000000" w:rsidRPr="00000000">
        <w:rPr>
          <w:rtl w:val="0"/>
        </w:rPr>
        <w:t xml:space="preserve">Position:~32.5m from the source. </w:t>
      </w:r>
    </w:p>
    <w:p w:rsidR="00000000" w:rsidDel="00000000" w:rsidP="00000000" w:rsidRDefault="00000000" w:rsidRPr="00000000" w14:paraId="00000028">
      <w:pPr>
        <w:numPr>
          <w:ilvl w:val="0"/>
          <w:numId w:val="8"/>
        </w:numPr>
        <w:ind w:left="720" w:hanging="360"/>
        <w:rPr/>
      </w:pPr>
      <w:r w:rsidDel="00000000" w:rsidR="00000000" w:rsidRPr="00000000">
        <w:rPr>
          <w:rtl w:val="0"/>
        </w:rPr>
        <w:t xml:space="preserve">Beam height: 1384mm from the ground.</w:t>
      </w:r>
    </w:p>
    <w:p w:rsidR="00000000" w:rsidDel="00000000" w:rsidP="00000000" w:rsidRDefault="00000000" w:rsidRPr="00000000" w14:paraId="00000029">
      <w:pPr>
        <w:numPr>
          <w:ilvl w:val="0"/>
          <w:numId w:val="8"/>
        </w:numPr>
        <w:ind w:left="720" w:hanging="360"/>
        <w:rPr/>
      </w:pPr>
      <w:r w:rsidDel="00000000" w:rsidR="00000000" w:rsidRPr="00000000">
        <w:rPr>
          <w:rtl w:val="0"/>
        </w:rPr>
        <w:t xml:space="preserve">Mounting flange: DN150CF</w:t>
      </w:r>
    </w:p>
    <w:p w:rsidR="00000000" w:rsidDel="00000000" w:rsidP="00000000" w:rsidRDefault="00000000" w:rsidRPr="00000000" w14:paraId="0000002A">
      <w:pPr>
        <w:numPr>
          <w:ilvl w:val="0"/>
          <w:numId w:val="8"/>
        </w:numPr>
        <w:ind w:left="720" w:hanging="360"/>
        <w:rPr/>
      </w:pPr>
      <w:r w:rsidDel="00000000" w:rsidR="00000000" w:rsidRPr="00000000">
        <w:rPr>
          <w:rtl w:val="0"/>
        </w:rPr>
        <w:t xml:space="preserve">The total stroke/range is 50mm. </w:t>
      </w:r>
    </w:p>
    <w:p w:rsidR="00000000" w:rsidDel="00000000" w:rsidP="00000000" w:rsidRDefault="00000000" w:rsidRPr="00000000" w14:paraId="0000002B">
      <w:pPr>
        <w:numPr>
          <w:ilvl w:val="0"/>
          <w:numId w:val="8"/>
        </w:numPr>
        <w:ind w:left="720" w:hanging="360"/>
        <w:rPr/>
      </w:pPr>
      <w:r w:rsidDel="00000000" w:rsidR="00000000" w:rsidRPr="00000000">
        <w:rPr>
          <w:rtl w:val="0"/>
        </w:rPr>
        <w:t xml:space="preserve">Two limit switches are used to define the two extreme positions.</w:t>
      </w:r>
    </w:p>
    <w:p w:rsidR="00000000" w:rsidDel="00000000" w:rsidP="00000000" w:rsidRDefault="00000000" w:rsidRPr="00000000" w14:paraId="0000002C">
      <w:pPr>
        <w:numPr>
          <w:ilvl w:val="0"/>
          <w:numId w:val="8"/>
        </w:numPr>
        <w:ind w:left="720" w:hanging="360"/>
        <w:rPr/>
      </w:pPr>
      <w:r w:rsidDel="00000000" w:rsidR="00000000" w:rsidRPr="00000000">
        <w:rPr>
          <w:rtl w:val="0"/>
        </w:rPr>
        <w:t xml:space="preserve">The view angle is 45° for the screen. The view angle means the angle between the beam and the surface of the screen.</w:t>
      </w:r>
    </w:p>
    <w:p w:rsidR="00000000" w:rsidDel="00000000" w:rsidP="00000000" w:rsidRDefault="00000000" w:rsidRPr="00000000" w14:paraId="0000002D">
      <w:pPr>
        <w:numPr>
          <w:ilvl w:val="0"/>
          <w:numId w:val="8"/>
        </w:numPr>
        <w:ind w:left="720" w:hanging="360"/>
        <w:rPr/>
      </w:pPr>
      <w:r w:rsidDel="00000000" w:rsidR="00000000" w:rsidRPr="00000000">
        <w:rPr>
          <w:rtl w:val="0"/>
        </w:rPr>
        <w:t xml:space="preserve">Pneumatic drive with hard stop</w:t>
      </w:r>
    </w:p>
    <w:p w:rsidR="00000000" w:rsidDel="00000000" w:rsidP="00000000" w:rsidRDefault="00000000" w:rsidRPr="00000000" w14:paraId="0000002E">
      <w:pPr>
        <w:numPr>
          <w:ilvl w:val="0"/>
          <w:numId w:val="8"/>
        </w:numPr>
        <w:ind w:left="720" w:hanging="360"/>
        <w:rPr/>
      </w:pPr>
      <w:r w:rsidDel="00000000" w:rsidR="00000000" w:rsidRPr="00000000">
        <w:rPr>
          <w:rtl w:val="0"/>
        </w:rPr>
        <w:t xml:space="preserve">Input beam: monochromatic beam.</w:t>
      </w:r>
    </w:p>
    <w:p w:rsidR="00000000" w:rsidDel="00000000" w:rsidP="00000000" w:rsidRDefault="00000000" w:rsidRPr="00000000" w14:paraId="0000002F">
      <w:pPr>
        <w:numPr>
          <w:ilvl w:val="0"/>
          <w:numId w:val="8"/>
        </w:numPr>
        <w:ind w:left="720" w:hanging="360"/>
        <w:rPr/>
      </w:pPr>
      <w:r w:rsidDel="00000000" w:rsidR="00000000" w:rsidRPr="00000000">
        <w:rPr>
          <w:rtl w:val="0"/>
        </w:rPr>
        <w:t xml:space="preserve">Useful aperture of the screen: 40mmX15mm(WxL)</w:t>
      </w:r>
    </w:p>
    <w:p w:rsidR="00000000" w:rsidDel="00000000" w:rsidP="00000000" w:rsidRDefault="00000000" w:rsidRPr="00000000" w14:paraId="00000030">
      <w:pPr>
        <w:numPr>
          <w:ilvl w:val="0"/>
          <w:numId w:val="8"/>
        </w:numPr>
        <w:ind w:left="720" w:hanging="360"/>
        <w:rPr/>
      </w:pPr>
      <w:r w:rsidDel="00000000" w:rsidR="00000000" w:rsidRPr="00000000">
        <w:rPr>
          <w:rtl w:val="0"/>
        </w:rPr>
        <w:t xml:space="preserve">Beam cross section: 21.0mm×3.3mm(H×V).</w:t>
      </w:r>
    </w:p>
    <w:p w:rsidR="00000000" w:rsidDel="00000000" w:rsidP="00000000" w:rsidRDefault="00000000" w:rsidRPr="00000000" w14:paraId="00000031">
      <w:pPr>
        <w:numPr>
          <w:ilvl w:val="0"/>
          <w:numId w:val="8"/>
        </w:numPr>
        <w:ind w:left="720" w:hanging="360"/>
        <w:rPr/>
      </w:pPr>
      <w:r w:rsidDel="00000000" w:rsidR="00000000" w:rsidRPr="00000000">
        <w:rPr>
          <w:rtl w:val="0"/>
        </w:rPr>
        <w:t xml:space="preserve">Phosphor screen: </w:t>
      </w:r>
    </w:p>
    <w:p w:rsidR="00000000" w:rsidDel="00000000" w:rsidP="00000000" w:rsidRDefault="00000000" w:rsidRPr="00000000" w14:paraId="00000032">
      <w:pPr>
        <w:numPr>
          <w:ilvl w:val="1"/>
          <w:numId w:val="8"/>
        </w:numPr>
        <w:ind w:left="1440" w:hanging="360"/>
        <w:rPr/>
      </w:pPr>
      <w:r w:rsidDel="00000000" w:rsidR="00000000" w:rsidRPr="00000000">
        <w:rPr>
          <w:rtl w:val="0"/>
        </w:rPr>
        <w:t xml:space="preserve">Material: Boron doped CVD diamond</w:t>
      </w:r>
    </w:p>
    <w:p w:rsidR="00000000" w:rsidDel="00000000" w:rsidP="00000000" w:rsidRDefault="00000000" w:rsidRPr="00000000" w14:paraId="00000033">
      <w:pPr>
        <w:numPr>
          <w:ilvl w:val="1"/>
          <w:numId w:val="8"/>
        </w:numPr>
        <w:ind w:left="1440" w:hanging="360"/>
        <w:rPr/>
      </w:pPr>
      <w:r w:rsidDel="00000000" w:rsidR="00000000" w:rsidRPr="00000000">
        <w:rPr>
          <w:rtl w:val="0"/>
        </w:rPr>
        <w:t xml:space="preserve">Dimensions: 50mmX20mmX0.05mm(WxLxT).</w:t>
      </w:r>
    </w:p>
    <w:p w:rsidR="00000000" w:rsidDel="00000000" w:rsidP="00000000" w:rsidRDefault="00000000" w:rsidRPr="00000000" w14:paraId="00000034">
      <w:pPr>
        <w:numPr>
          <w:ilvl w:val="1"/>
          <w:numId w:val="8"/>
        </w:numPr>
        <w:ind w:left="1440" w:hanging="360"/>
        <w:rPr/>
      </w:pPr>
      <w:r w:rsidDel="00000000" w:rsidR="00000000" w:rsidRPr="00000000">
        <w:rPr>
          <w:rtl w:val="0"/>
        </w:rPr>
        <w:t xml:space="preserve">Roughness: &lt;2Å.</w:t>
      </w:r>
    </w:p>
    <w:p w:rsidR="00000000" w:rsidDel="00000000" w:rsidP="00000000" w:rsidRDefault="00000000" w:rsidRPr="00000000" w14:paraId="00000035">
      <w:pPr>
        <w:numPr>
          <w:ilvl w:val="0"/>
          <w:numId w:val="8"/>
        </w:numPr>
        <w:ind w:left="720" w:hanging="360"/>
        <w:rPr/>
      </w:pPr>
      <w:r w:rsidDel="00000000" w:rsidR="00000000" w:rsidRPr="00000000">
        <w:rPr>
          <w:rtl w:val="0"/>
        </w:rPr>
        <w:t xml:space="preserve">Ultra high vacuum compatible.</w:t>
      </w:r>
    </w:p>
    <w:p w:rsidR="00000000" w:rsidDel="00000000" w:rsidP="00000000" w:rsidRDefault="00000000" w:rsidRPr="00000000" w14:paraId="00000036">
      <w:pPr>
        <w:jc w:val="center"/>
        <w:rPr/>
      </w:pPr>
      <w:r w:rsidDel="00000000" w:rsidR="00000000" w:rsidRPr="00000000">
        <w:rPr>
          <w:rtl w:val="0"/>
        </w:rPr>
      </w:r>
    </w:p>
    <w:p w:rsidR="00000000" w:rsidDel="00000000" w:rsidP="00000000" w:rsidRDefault="00000000" w:rsidRPr="00000000" w14:paraId="00000037">
      <w:pPr>
        <w:jc w:val="center"/>
        <w:rPr/>
      </w:pPr>
      <w:r w:rsidDel="00000000" w:rsidR="00000000" w:rsidRPr="00000000">
        <w:rPr>
          <w:rtl w:val="0"/>
        </w:rPr>
      </w:r>
    </w:p>
    <w:p w:rsidR="00000000" w:rsidDel="00000000" w:rsidP="00000000" w:rsidRDefault="00000000" w:rsidRPr="00000000" w14:paraId="00000038">
      <w:pPr>
        <w:jc w:val="cente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br w:type="page"/>
      </w:r>
      <w:r w:rsidDel="00000000" w:rsidR="00000000" w:rsidRPr="00000000">
        <w:rPr>
          <w:rtl w:val="0"/>
        </w:rPr>
      </w:r>
    </w:p>
    <w:p w:rsidR="00000000" w:rsidDel="00000000" w:rsidP="00000000" w:rsidRDefault="00000000" w:rsidRPr="00000000" w14:paraId="0000003D">
      <w:pPr>
        <w:pStyle w:val="Heading1"/>
        <w:rPr/>
      </w:pPr>
      <w:bookmarkStart w:colFirst="0" w:colLast="0" w:name="_heading=h.b49jxeeo0lip" w:id="8"/>
      <w:bookmarkEnd w:id="8"/>
      <w:r w:rsidDel="00000000" w:rsidR="00000000" w:rsidRPr="00000000">
        <w:rPr/>
        <mc:AlternateContent>
          <mc:Choice Requires="wpg">
            <w:drawing>
              <wp:anchor allowOverlap="1" behindDoc="0" distB="114300" distT="114300" distL="114300" distR="114300" hidden="0" layoutInCell="1" locked="0" relativeHeight="0" simplePos="0">
                <wp:simplePos x="0" y="0"/>
                <wp:positionH relativeFrom="margin">
                  <wp:posOffset>0</wp:posOffset>
                </wp:positionH>
                <wp:positionV relativeFrom="margin">
                  <wp:posOffset>-230104</wp:posOffset>
                </wp:positionV>
                <wp:extent cx="5731200" cy="6425322"/>
                <wp:effectExtent b="0" l="0" r="0" t="0"/>
                <wp:wrapTopAndBottom distB="114300" distT="114300"/>
                <wp:docPr id="6" name=""/>
                <a:graphic>
                  <a:graphicData uri="http://schemas.microsoft.com/office/word/2010/wordprocessingGroup">
                    <wpg:wgp>
                      <wpg:cNvGrpSpPr/>
                      <wpg:grpSpPr>
                        <a:xfrm>
                          <a:off x="2604175" y="747800"/>
                          <a:ext cx="5731200" cy="6425322"/>
                          <a:chOff x="2604175" y="747800"/>
                          <a:chExt cx="5483650" cy="6176875"/>
                        </a:xfrm>
                      </wpg:grpSpPr>
                      <wpg:grpSp>
                        <wpg:cNvGrpSpPr/>
                        <wpg:grpSpPr>
                          <a:xfrm>
                            <a:off x="2604188" y="747823"/>
                            <a:ext cx="5483624" cy="6176835"/>
                            <a:chOff x="1102650" y="0"/>
                            <a:chExt cx="4652725" cy="5238900"/>
                          </a:xfrm>
                        </wpg:grpSpPr>
                        <wps:wsp>
                          <wps:cNvSpPr/>
                          <wps:cNvPr id="3" name="Shape 3"/>
                          <wps:spPr>
                            <a:xfrm>
                              <a:off x="1102650" y="0"/>
                              <a:ext cx="4652725" cy="5143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 name="Shape 4"/>
                            <pic:cNvPicPr preferRelativeResize="0"/>
                          </pic:nvPicPr>
                          <pic:blipFill rotWithShape="1">
                            <a:blip r:embed="rId9">
                              <a:alphaModFix/>
                            </a:blip>
                            <a:srcRect b="0" l="0" r="0" t="0"/>
                            <a:stretch/>
                          </pic:blipFill>
                          <pic:spPr>
                            <a:xfrm>
                              <a:off x="1402363" y="0"/>
                              <a:ext cx="4053287" cy="4838699"/>
                            </a:xfrm>
                            <a:prstGeom prst="rect">
                              <a:avLst/>
                            </a:prstGeom>
                            <a:noFill/>
                            <a:ln>
                              <a:noFill/>
                            </a:ln>
                          </pic:spPr>
                        </pic:pic>
                        <wps:wsp>
                          <wps:cNvSpPr/>
                          <wps:cNvPr id="5" name="Shape 5"/>
                          <wps:spPr>
                            <a:xfrm>
                              <a:off x="1102663" y="4838700"/>
                              <a:ext cx="46527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Figure </w:t>
                                </w:r>
                                <w:r w:rsidDel="00000000" w:rsidR="00000000" w:rsidRPr="00000000">
                                  <w:rPr>
                                    <w:rFonts w:ascii="Arial" w:cs="Arial" w:eastAsia="Arial" w:hAnsi="Arial"/>
                                    <w:b w:val="0"/>
                                    <w:i w:val="0"/>
                                    <w:smallCaps w:val="0"/>
                                    <w:strike w:val="0"/>
                                    <w:color w:val="000000"/>
                                    <w:sz w:val="28"/>
                                    <w:vertAlign w:val="baseline"/>
                                  </w:rPr>
                                  <w:t xml:space="preserve">2</w:t>
                                </w:r>
                                <w:r w:rsidDel="00000000" w:rsidR="00000000" w:rsidRPr="00000000">
                                  <w:rPr>
                                    <w:rFonts w:ascii="Arial" w:cs="Arial" w:eastAsia="Arial" w:hAnsi="Arial"/>
                                    <w:b w:val="0"/>
                                    <w:i w:val="0"/>
                                    <w:smallCaps w:val="0"/>
                                    <w:strike w:val="0"/>
                                    <w:color w:val="000000"/>
                                    <w:sz w:val="28"/>
                                    <w:vertAlign w:val="baseline"/>
                                  </w:rPr>
                                  <w:t xml:space="preserve">: Conceptual 3D drawing of</w:t>
                                </w:r>
                                <w:r w:rsidDel="00000000" w:rsidR="00000000" w:rsidRPr="00000000">
                                  <w:rPr>
                                    <w:rFonts w:ascii="Arial" w:cs="Arial" w:eastAsia="Arial" w:hAnsi="Arial"/>
                                    <w:b w:val="0"/>
                                    <w:i w:val="0"/>
                                    <w:smallCaps w:val="0"/>
                                    <w:strike w:val="0"/>
                                    <w:color w:val="000000"/>
                                    <w:sz w:val="28"/>
                                    <w:vertAlign w:val="baseline"/>
                                  </w:rPr>
                                  <w:t xml:space="preserve"> </w:t>
                                </w:r>
                                <w:r w:rsidDel="00000000" w:rsidR="00000000" w:rsidRPr="00000000">
                                  <w:rPr>
                                    <w:rFonts w:ascii="Arial" w:cs="Arial" w:eastAsia="Arial" w:hAnsi="Arial"/>
                                    <w:b w:val="0"/>
                                    <w:i w:val="0"/>
                                    <w:smallCaps w:val="0"/>
                                    <w:strike w:val="0"/>
                                    <w:color w:val="000000"/>
                                    <w:sz w:val="28"/>
                                    <w:vertAlign w:val="baseline"/>
                                  </w:rPr>
                                  <w:t xml:space="preserve">DBPM</w:t>
                                </w:r>
                                <w:r w:rsidDel="00000000" w:rsidR="00000000" w:rsidRPr="00000000">
                                  <w:rPr>
                                    <w:rFonts w:ascii="Arial" w:cs="Arial" w:eastAsia="Arial" w:hAnsi="Arial"/>
                                    <w:b w:val="0"/>
                                    <w:i w:val="0"/>
                                    <w:smallCaps w:val="0"/>
                                    <w:strike w:val="0"/>
                                    <w:color w:val="000000"/>
                                    <w:sz w:val="28"/>
                                    <w:vertAlign w:val="baseline"/>
                                  </w:rPr>
                                  <w:t xml:space="preserve"> 4</w:t>
                                </w:r>
                                <w:r w:rsidDel="00000000" w:rsidR="00000000" w:rsidRPr="00000000">
                                  <w:rPr>
                                    <w:rFonts w:ascii="Arial" w:cs="Arial" w:eastAsia="Arial" w:hAnsi="Arial"/>
                                    <w:b w:val="0"/>
                                    <w:i w:val="0"/>
                                    <w:smallCaps w:val="0"/>
                                    <w:strike w:val="0"/>
                                    <w:color w:val="000000"/>
                                    <w:sz w:val="28"/>
                                    <w:vertAlign w:val="baseline"/>
                                  </w:rPr>
                                  <w:t xml:space="preserve">.</w:t>
                                </w:r>
                              </w:p>
                            </w:txbxContent>
                          </wps:txbx>
                          <wps:bodyPr anchorCtr="0" anchor="t" bIns="91425" lIns="91425" spcFirstLastPara="1" rIns="91425" wrap="square" tIns="91425">
                            <a:noAutofit/>
                          </wps:bodyPr>
                        </wps:wsp>
                      </wpg:grpSp>
                    </wpg:wgp>
                  </a:graphicData>
                </a:graphic>
              </wp:anchor>
            </w:drawing>
          </mc:Choice>
          <mc:Fallback>
            <w:drawing>
              <wp:anchor allowOverlap="1" behindDoc="0" distB="114300" distT="114300" distL="114300" distR="114300" hidden="0" layoutInCell="1" locked="0" relativeHeight="0" simplePos="0">
                <wp:simplePos x="0" y="0"/>
                <wp:positionH relativeFrom="margin">
                  <wp:posOffset>0</wp:posOffset>
                </wp:positionH>
                <wp:positionV relativeFrom="margin">
                  <wp:posOffset>-230104</wp:posOffset>
                </wp:positionV>
                <wp:extent cx="5731200" cy="6425322"/>
                <wp:effectExtent b="0" l="0" r="0" t="0"/>
                <wp:wrapTopAndBottom distB="114300" distT="114300"/>
                <wp:docPr id="6"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5731200" cy="6425322"/>
                        </a:xfrm>
                        <a:prstGeom prst="rect"/>
                        <a:ln/>
                      </pic:spPr>
                    </pic:pic>
                  </a:graphicData>
                </a:graphic>
              </wp:anchor>
            </w:drawing>
          </mc:Fallback>
        </mc:AlternateContent>
      </w:r>
      <w:r w:rsidDel="00000000" w:rsidR="00000000" w:rsidRPr="00000000">
        <w:rPr>
          <w:rtl w:val="0"/>
        </w:rPr>
        <w:t xml:space="preserve">Inspection and Acceptance Criteria</w:t>
      </w:r>
    </w:p>
    <w:p w:rsidR="00000000" w:rsidDel="00000000" w:rsidP="00000000" w:rsidRDefault="00000000" w:rsidRPr="00000000" w14:paraId="0000003E">
      <w:pPr>
        <w:pStyle w:val="Heading2"/>
        <w:rPr/>
      </w:pPr>
      <w:bookmarkStart w:colFirst="0" w:colLast="0" w:name="_heading=h.sbg8yo8k3nbq" w:id="9"/>
      <w:bookmarkEnd w:id="9"/>
      <w:r w:rsidDel="00000000" w:rsidR="00000000" w:rsidRPr="00000000">
        <w:rPr>
          <w:rtl w:val="0"/>
        </w:rPr>
        <w:t xml:space="preserve">General term</w:t>
      </w:r>
    </w:p>
    <w:p w:rsidR="00000000" w:rsidDel="00000000" w:rsidP="00000000" w:rsidRDefault="00000000" w:rsidRPr="00000000" w14:paraId="0000003F">
      <w:pPr>
        <w:numPr>
          <w:ilvl w:val="0"/>
          <w:numId w:val="1"/>
        </w:numPr>
        <w:ind w:left="720" w:hanging="360"/>
        <w:rPr/>
      </w:pPr>
      <w:r w:rsidDel="00000000" w:rsidR="00000000" w:rsidRPr="00000000">
        <w:rPr>
          <w:rtl w:val="0"/>
        </w:rPr>
        <w:t xml:space="preserve">In order to meet these specifications, NSRRC reserves the right to inspect and require alterations of the completed design.</w:t>
      </w:r>
    </w:p>
    <w:p w:rsidR="00000000" w:rsidDel="00000000" w:rsidP="00000000" w:rsidRDefault="00000000" w:rsidRPr="00000000" w14:paraId="00000040">
      <w:pPr>
        <w:numPr>
          <w:ilvl w:val="0"/>
          <w:numId w:val="1"/>
        </w:numPr>
        <w:ind w:left="720" w:hanging="360"/>
        <w:rPr/>
      </w:pPr>
      <w:r w:rsidDel="00000000" w:rsidR="00000000" w:rsidRPr="00000000">
        <w:rPr>
          <w:rtl w:val="0"/>
        </w:rPr>
        <w:t xml:space="preserve">Agreement between NSRRC and the vendor on the entire design drawings must occur before any actual fabrication process begins.</w:t>
      </w:r>
    </w:p>
    <w:p w:rsidR="00000000" w:rsidDel="00000000" w:rsidP="00000000" w:rsidRDefault="00000000" w:rsidRPr="00000000" w14:paraId="00000041">
      <w:pPr>
        <w:numPr>
          <w:ilvl w:val="0"/>
          <w:numId w:val="1"/>
        </w:numPr>
        <w:ind w:left="720" w:hanging="360"/>
        <w:rPr/>
      </w:pPr>
      <w:r w:rsidDel="00000000" w:rsidR="00000000" w:rsidRPr="00000000">
        <w:rPr>
          <w:rtl w:val="0"/>
        </w:rPr>
        <w:t xml:space="preserve">Unless otherwise specified in the contract or order, the vendor is responsible for the performance of all inspection requirements as specified herein.</w:t>
      </w:r>
    </w:p>
    <w:p w:rsidR="00000000" w:rsidDel="00000000" w:rsidP="00000000" w:rsidRDefault="00000000" w:rsidRPr="00000000" w14:paraId="00000042">
      <w:pPr>
        <w:numPr>
          <w:ilvl w:val="0"/>
          <w:numId w:val="1"/>
        </w:numPr>
        <w:ind w:left="720" w:hanging="360"/>
        <w:rPr/>
      </w:pPr>
      <w:r w:rsidDel="00000000" w:rsidR="00000000" w:rsidRPr="00000000">
        <w:rPr>
          <w:rtl w:val="0"/>
        </w:rPr>
        <w:t xml:space="preserve">Except as otherwise specified, the vendor may utilize his own facilities or any commercial laboratory acceptable to NSRRC.</w:t>
      </w:r>
    </w:p>
    <w:p w:rsidR="00000000" w:rsidDel="00000000" w:rsidP="00000000" w:rsidRDefault="00000000" w:rsidRPr="00000000" w14:paraId="00000043">
      <w:pPr>
        <w:numPr>
          <w:ilvl w:val="0"/>
          <w:numId w:val="1"/>
        </w:numPr>
        <w:ind w:left="720" w:hanging="360"/>
        <w:rPr/>
      </w:pPr>
      <w:r w:rsidDel="00000000" w:rsidR="00000000" w:rsidRPr="00000000">
        <w:rPr>
          <w:rtl w:val="0"/>
        </w:rPr>
        <w:t xml:space="preserve">NSRRC should be informed well first before acceptance tests are being performed so that at least one of NSRRC staff can be present during the tests.</w:t>
      </w:r>
    </w:p>
    <w:p w:rsidR="00000000" w:rsidDel="00000000" w:rsidP="00000000" w:rsidRDefault="00000000" w:rsidRPr="00000000" w14:paraId="00000044">
      <w:pPr>
        <w:numPr>
          <w:ilvl w:val="0"/>
          <w:numId w:val="1"/>
        </w:numPr>
        <w:ind w:left="720" w:hanging="360"/>
        <w:rPr/>
      </w:pPr>
      <w:r w:rsidDel="00000000" w:rsidR="00000000" w:rsidRPr="00000000">
        <w:rPr>
          <w:rtl w:val="0"/>
        </w:rPr>
        <w:t xml:space="preserve">A written report of the tests shall be provided to NSRRC to verify compliance with the specifications. Test methods, criteria and measuring equipment should be shown in the test report.</w:t>
      </w:r>
    </w:p>
    <w:p w:rsidR="00000000" w:rsidDel="00000000" w:rsidP="00000000" w:rsidRDefault="00000000" w:rsidRPr="00000000" w14:paraId="00000045">
      <w:pPr>
        <w:numPr>
          <w:ilvl w:val="0"/>
          <w:numId w:val="1"/>
        </w:numPr>
        <w:ind w:left="720" w:hanging="360"/>
        <w:rPr/>
      </w:pPr>
      <w:r w:rsidDel="00000000" w:rsidR="00000000" w:rsidRPr="00000000">
        <w:rPr>
          <w:rtl w:val="0"/>
        </w:rPr>
        <w:t xml:space="preserve">The vendors shall foresee the insurance of the equipment during the tests, and the transport to the metrology laboratory.</w:t>
      </w:r>
    </w:p>
    <w:p w:rsidR="00000000" w:rsidDel="00000000" w:rsidP="00000000" w:rsidRDefault="00000000" w:rsidRPr="00000000" w14:paraId="00000046">
      <w:pPr>
        <w:numPr>
          <w:ilvl w:val="0"/>
          <w:numId w:val="1"/>
        </w:numPr>
        <w:ind w:left="720" w:hanging="360"/>
        <w:rPr/>
      </w:pPr>
      <w:r w:rsidDel="00000000" w:rsidR="00000000" w:rsidRPr="00000000">
        <w:rPr>
          <w:rtl w:val="0"/>
        </w:rPr>
        <w:t xml:space="preserve">The components supplied by NSRRC useful to do the tests will be loaned to the vendor premises on request. However, this does not release the vendor from the responsibility of proving the performance of the components.</w:t>
      </w:r>
    </w:p>
    <w:p w:rsidR="00000000" w:rsidDel="00000000" w:rsidP="00000000" w:rsidRDefault="00000000" w:rsidRPr="00000000" w14:paraId="00000047">
      <w:pPr>
        <w:pStyle w:val="Heading2"/>
        <w:rPr/>
      </w:pPr>
      <w:bookmarkStart w:colFirst="0" w:colLast="0" w:name="_heading=h.5ki4n1k543uy" w:id="10"/>
      <w:bookmarkEnd w:id="10"/>
      <w:r w:rsidDel="00000000" w:rsidR="00000000" w:rsidRPr="00000000">
        <w:rPr>
          <w:rtl w:val="0"/>
        </w:rPr>
        <w:t xml:space="preserve">Factory acceptance tests</w:t>
      </w:r>
    </w:p>
    <w:p w:rsidR="00000000" w:rsidDel="00000000" w:rsidP="00000000" w:rsidRDefault="00000000" w:rsidRPr="00000000" w14:paraId="00000048">
      <w:pPr>
        <w:rPr/>
      </w:pPr>
      <w:r w:rsidDel="00000000" w:rsidR="00000000" w:rsidRPr="00000000">
        <w:rPr>
          <w:rtl w:val="0"/>
        </w:rPr>
        <w:t xml:space="preserve">Factory acceptance tests report shall provide the following test items:</w:t>
      </w:r>
    </w:p>
    <w:p w:rsidR="00000000" w:rsidDel="00000000" w:rsidP="00000000" w:rsidRDefault="00000000" w:rsidRPr="00000000" w14:paraId="00000049">
      <w:pPr>
        <w:numPr>
          <w:ilvl w:val="0"/>
          <w:numId w:val="4"/>
        </w:numPr>
        <w:ind w:left="720" w:hanging="360"/>
        <w:rPr/>
      </w:pPr>
      <w:r w:rsidDel="00000000" w:rsidR="00000000" w:rsidRPr="00000000">
        <w:rPr>
          <w:rtl w:val="0"/>
        </w:rPr>
        <w:t xml:space="preserve">Exterior appearance check</w:t>
      </w:r>
    </w:p>
    <w:p w:rsidR="00000000" w:rsidDel="00000000" w:rsidP="00000000" w:rsidRDefault="00000000" w:rsidRPr="00000000" w14:paraId="0000004A">
      <w:pPr>
        <w:numPr>
          <w:ilvl w:val="1"/>
          <w:numId w:val="4"/>
        </w:numPr>
        <w:ind w:left="1440" w:hanging="360"/>
        <w:rPr/>
      </w:pPr>
      <w:r w:rsidDel="00000000" w:rsidR="00000000" w:rsidRPr="00000000">
        <w:rPr>
          <w:rtl w:val="0"/>
        </w:rPr>
        <w:t xml:space="preserve">No flaw, dent, scratch and fouling that affect the equipment in use and/or in function.</w:t>
      </w:r>
    </w:p>
    <w:p w:rsidR="00000000" w:rsidDel="00000000" w:rsidP="00000000" w:rsidRDefault="00000000" w:rsidRPr="00000000" w14:paraId="0000004B">
      <w:pPr>
        <w:numPr>
          <w:ilvl w:val="1"/>
          <w:numId w:val="4"/>
        </w:numPr>
        <w:ind w:left="1440" w:hanging="360"/>
        <w:rPr/>
      </w:pPr>
      <w:r w:rsidDel="00000000" w:rsidR="00000000" w:rsidRPr="00000000">
        <w:rPr>
          <w:rtl w:val="0"/>
        </w:rPr>
        <w:t xml:space="preserve">No loose bolt or screw.</w:t>
      </w:r>
    </w:p>
    <w:p w:rsidR="00000000" w:rsidDel="00000000" w:rsidP="00000000" w:rsidRDefault="00000000" w:rsidRPr="00000000" w14:paraId="0000004C">
      <w:pPr>
        <w:numPr>
          <w:ilvl w:val="1"/>
          <w:numId w:val="4"/>
        </w:numPr>
        <w:ind w:left="1440" w:hanging="360"/>
        <w:rPr/>
      </w:pPr>
      <w:r w:rsidDel="00000000" w:rsidR="00000000" w:rsidRPr="00000000">
        <w:rPr>
          <w:rtl w:val="0"/>
        </w:rPr>
        <w:t xml:space="preserve">No sharp edges and corners.</w:t>
      </w:r>
    </w:p>
    <w:p w:rsidR="00000000" w:rsidDel="00000000" w:rsidP="00000000" w:rsidRDefault="00000000" w:rsidRPr="00000000" w14:paraId="0000004D">
      <w:pPr>
        <w:numPr>
          <w:ilvl w:val="1"/>
          <w:numId w:val="4"/>
        </w:numPr>
        <w:ind w:left="1440" w:hanging="360"/>
        <w:rPr/>
      </w:pPr>
      <w:r w:rsidDel="00000000" w:rsidR="00000000" w:rsidRPr="00000000">
        <w:rPr>
          <w:rtl w:val="0"/>
        </w:rPr>
        <w:t xml:space="preserve">Cables should be correctly labeled.</w:t>
      </w:r>
    </w:p>
    <w:p w:rsidR="00000000" w:rsidDel="00000000" w:rsidP="00000000" w:rsidRDefault="00000000" w:rsidRPr="00000000" w14:paraId="0000004E">
      <w:pPr>
        <w:numPr>
          <w:ilvl w:val="0"/>
          <w:numId w:val="4"/>
        </w:numPr>
        <w:ind w:left="720" w:hanging="360"/>
        <w:rPr/>
      </w:pPr>
      <w:r w:rsidDel="00000000" w:rsidR="00000000" w:rsidRPr="00000000">
        <w:rPr>
          <w:rtl w:val="0"/>
        </w:rPr>
        <w:t xml:space="preserve">Movement test</w:t>
      </w:r>
    </w:p>
    <w:p w:rsidR="00000000" w:rsidDel="00000000" w:rsidP="00000000" w:rsidRDefault="00000000" w:rsidRPr="00000000" w14:paraId="0000004F">
      <w:pPr>
        <w:numPr>
          <w:ilvl w:val="1"/>
          <w:numId w:val="4"/>
        </w:numPr>
        <w:ind w:left="1440" w:hanging="360"/>
        <w:rPr/>
      </w:pPr>
      <w:r w:rsidDel="00000000" w:rsidR="00000000" w:rsidRPr="00000000">
        <w:rPr>
          <w:rtl w:val="0"/>
        </w:rPr>
        <w:t xml:space="preserve">Each limit switch/hard stops should perform properly.</w:t>
      </w:r>
    </w:p>
    <w:p w:rsidR="00000000" w:rsidDel="00000000" w:rsidP="00000000" w:rsidRDefault="00000000" w:rsidRPr="00000000" w14:paraId="00000050">
      <w:pPr>
        <w:numPr>
          <w:ilvl w:val="1"/>
          <w:numId w:val="4"/>
        </w:numPr>
        <w:ind w:left="1440" w:hanging="360"/>
        <w:rPr/>
      </w:pPr>
      <w:r w:rsidDel="00000000" w:rsidR="00000000" w:rsidRPr="00000000">
        <w:rPr>
          <w:rtl w:val="0"/>
        </w:rPr>
        <w:t xml:space="preserve">Stroke/range </w:t>
      </w:r>
    </w:p>
    <w:p w:rsidR="00000000" w:rsidDel="00000000" w:rsidP="00000000" w:rsidRDefault="00000000" w:rsidRPr="00000000" w14:paraId="00000051">
      <w:pPr>
        <w:numPr>
          <w:ilvl w:val="1"/>
          <w:numId w:val="4"/>
        </w:numPr>
        <w:ind w:left="1440" w:hanging="360"/>
        <w:rPr/>
      </w:pPr>
      <w:r w:rsidDel="00000000" w:rsidR="00000000" w:rsidRPr="00000000">
        <w:rPr>
          <w:rtl w:val="0"/>
        </w:rPr>
        <w:t xml:space="preserve">Electrical circuit test.</w:t>
      </w:r>
    </w:p>
    <w:p w:rsidR="00000000" w:rsidDel="00000000" w:rsidP="00000000" w:rsidRDefault="00000000" w:rsidRPr="00000000" w14:paraId="00000052">
      <w:pPr>
        <w:pStyle w:val="Heading1"/>
        <w:rPr/>
      </w:pPr>
      <w:bookmarkStart w:colFirst="0" w:colLast="0" w:name="_heading=h.2xu5z8z37ova" w:id="11"/>
      <w:bookmarkEnd w:id="11"/>
      <w:r w:rsidDel="00000000" w:rsidR="00000000" w:rsidRPr="00000000">
        <w:rPr>
          <w:rtl w:val="0"/>
        </w:rPr>
        <w:t xml:space="preserve">Packing and Shipping</w:t>
      </w:r>
    </w:p>
    <w:p w:rsidR="00000000" w:rsidDel="00000000" w:rsidP="00000000" w:rsidRDefault="00000000" w:rsidRPr="00000000" w14:paraId="00000053">
      <w:pPr>
        <w:rPr/>
      </w:pPr>
      <w:r w:rsidDel="00000000" w:rsidR="00000000" w:rsidRPr="00000000">
        <w:rPr>
          <w:rtl w:val="0"/>
        </w:rPr>
        <w:t xml:space="preserve">The finished components must be thoroughly clean and free from any organic materials or cutting fluid. The packaging should be moisture proof, waterproof, shake proof, breakage-proof, anti-deterioration, anti-corrosion, anti-saline and anti-pollution</w:t>
      </w:r>
      <w:r w:rsidDel="00000000" w:rsidR="00000000" w:rsidRPr="00000000">
        <w:rPr>
          <w:sz w:val="24"/>
          <w:szCs w:val="24"/>
          <w:highlight w:val="white"/>
          <w:rtl w:val="0"/>
        </w:rPr>
        <w:t xml:space="preserve">.</w:t>
      </w: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t xml:space="preserve">Package for shipment must ensure that the equipment is insulated from any severe shock. Markings indicating the fragile nature should be on the outside wall of the container.</w:t>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sdt>
        <w:sdtPr>
          <w:id w:val="-609627400"/>
          <w:tag w:val="goog_rdk_2"/>
        </w:sdtPr>
        <w:sdtContent>
          <w:r w:rsidDel="00000000" w:rsidR="00000000" w:rsidRPr="00000000">
            <w:rPr>
              <w:rFonts w:ascii="Arial Unicode MS" w:cs="Arial Unicode MS" w:eastAsia="Arial Unicode MS" w:hAnsi="Arial Unicode MS"/>
              <w:rtl w:val="0"/>
            </w:rPr>
            <w:t xml:space="preserve">The quoted item(s) shall be completed, packaged, DPU（Delivered at Place Unloaded）at NSRRC, Incoterms 2020 by the vendor.</w:t>
          </w:r>
        </w:sdtContent>
      </w:sdt>
      <w:r w:rsidDel="00000000" w:rsidR="00000000" w:rsidRPr="00000000">
        <w:rPr>
          <w:rtl w:val="0"/>
        </w:rPr>
      </w:r>
    </w:p>
    <w:p w:rsidR="00000000" w:rsidDel="00000000" w:rsidP="00000000" w:rsidRDefault="00000000" w:rsidRPr="00000000" w14:paraId="00000058">
      <w:pPr>
        <w:rPr/>
      </w:pPr>
      <w:r w:rsidDel="00000000" w:rsidR="00000000" w:rsidRPr="00000000">
        <w:rPr>
          <w:rtl w:val="0"/>
        </w:rPr>
        <w:t xml:space="preserve">The shipping address is:</w:t>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rFonts w:ascii="Courier New" w:cs="Courier New" w:eastAsia="Courier New" w:hAnsi="Courier New"/>
        </w:rPr>
      </w:pPr>
      <w:r w:rsidDel="00000000" w:rsidR="00000000" w:rsidRPr="00000000">
        <w:rPr>
          <w:rFonts w:ascii="Courier New" w:cs="Courier New" w:eastAsia="Courier New" w:hAnsi="Courier New"/>
          <w:rtl w:val="0"/>
        </w:rPr>
        <w:t xml:space="preserve">National Synchrotron Radiation Research Center</w:t>
      </w:r>
    </w:p>
    <w:p w:rsidR="00000000" w:rsidDel="00000000" w:rsidP="00000000" w:rsidRDefault="00000000" w:rsidRPr="00000000" w14:paraId="0000005B">
      <w:pPr>
        <w:rPr>
          <w:rFonts w:ascii="Courier New" w:cs="Courier New" w:eastAsia="Courier New" w:hAnsi="Courier New"/>
        </w:rPr>
      </w:pPr>
      <w:r w:rsidDel="00000000" w:rsidR="00000000" w:rsidRPr="00000000">
        <w:rPr>
          <w:rFonts w:ascii="Courier New" w:cs="Courier New" w:eastAsia="Courier New" w:hAnsi="Courier New"/>
          <w:rtl w:val="0"/>
        </w:rPr>
        <w:t xml:space="preserve">101 Hsin-Ann Rd., Hsinchu 30076, Taiwan</w:t>
      </w:r>
    </w:p>
    <w:p w:rsidR="00000000" w:rsidDel="00000000" w:rsidP="00000000" w:rsidRDefault="00000000" w:rsidRPr="00000000" w14:paraId="0000005C">
      <w:pPr>
        <w:rPr>
          <w:rFonts w:ascii="Courier New" w:cs="Courier New" w:eastAsia="Courier New" w:hAnsi="Courier New"/>
        </w:rPr>
      </w:pPr>
      <w:r w:rsidDel="00000000" w:rsidR="00000000" w:rsidRPr="00000000">
        <w:rPr>
          <w:rFonts w:ascii="Courier New" w:cs="Courier New" w:eastAsia="Courier New" w:hAnsi="Courier New"/>
          <w:rtl w:val="0"/>
        </w:rPr>
        <w:t xml:space="preserve">Attention: Dr. Chi-Yi Huang</w:t>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t xml:space="preserve">Besides the shipping address, the following is to be displayed clearly on the outside of the packaging:</w:t>
      </w:r>
    </w:p>
    <w:p w:rsidR="00000000" w:rsidDel="00000000" w:rsidP="00000000" w:rsidRDefault="00000000" w:rsidRPr="00000000" w14:paraId="0000005F">
      <w:pPr>
        <w:numPr>
          <w:ilvl w:val="0"/>
          <w:numId w:val="6"/>
        </w:numPr>
        <w:ind w:left="720" w:hanging="360"/>
        <w:rPr/>
      </w:pPr>
      <w:r w:rsidDel="00000000" w:rsidR="00000000" w:rsidRPr="00000000">
        <w:rPr>
          <w:rtl w:val="0"/>
        </w:rPr>
        <w:t xml:space="preserve">NSRRC contract number</w:t>
      </w:r>
    </w:p>
    <w:p w:rsidR="00000000" w:rsidDel="00000000" w:rsidP="00000000" w:rsidRDefault="00000000" w:rsidRPr="00000000" w14:paraId="00000060">
      <w:pPr>
        <w:numPr>
          <w:ilvl w:val="0"/>
          <w:numId w:val="6"/>
        </w:numPr>
        <w:ind w:left="720" w:hanging="360"/>
        <w:rPr/>
      </w:pPr>
      <w:r w:rsidDel="00000000" w:rsidR="00000000" w:rsidRPr="00000000">
        <w:rPr>
          <w:rtl w:val="0"/>
        </w:rPr>
        <w:t xml:space="preserve">Weight of the loaded package</w:t>
      </w:r>
    </w:p>
    <w:p w:rsidR="00000000" w:rsidDel="00000000" w:rsidP="00000000" w:rsidRDefault="00000000" w:rsidRPr="00000000" w14:paraId="00000061">
      <w:pPr>
        <w:numPr>
          <w:ilvl w:val="0"/>
          <w:numId w:val="6"/>
        </w:numPr>
        <w:ind w:left="720" w:hanging="360"/>
        <w:rPr/>
      </w:pPr>
      <w:r w:rsidDel="00000000" w:rsidR="00000000" w:rsidRPr="00000000">
        <w:rPr>
          <w:rtl w:val="0"/>
        </w:rPr>
        <w:t xml:space="preserve">Support points for transport and lifting</w:t>
      </w:r>
    </w:p>
    <w:p w:rsidR="00000000" w:rsidDel="00000000" w:rsidP="00000000" w:rsidRDefault="00000000" w:rsidRPr="00000000" w14:paraId="00000062">
      <w:pPr>
        <w:numPr>
          <w:ilvl w:val="0"/>
          <w:numId w:val="6"/>
        </w:numPr>
        <w:ind w:left="720" w:hanging="360"/>
        <w:rPr/>
      </w:pPr>
      <w:r w:rsidDel="00000000" w:rsidR="00000000" w:rsidRPr="00000000">
        <w:rPr>
          <w:rtl w:val="0"/>
        </w:rPr>
        <w:t xml:space="preserve">Tilt indicators</w:t>
      </w:r>
    </w:p>
    <w:p w:rsidR="00000000" w:rsidDel="00000000" w:rsidP="00000000" w:rsidRDefault="00000000" w:rsidRPr="00000000" w14:paraId="00000063">
      <w:pPr>
        <w:numPr>
          <w:ilvl w:val="0"/>
          <w:numId w:val="6"/>
        </w:numPr>
        <w:ind w:left="720" w:hanging="360"/>
        <w:rPr/>
      </w:pPr>
      <w:r w:rsidDel="00000000" w:rsidR="00000000" w:rsidRPr="00000000">
        <w:rPr>
          <w:rtl w:val="0"/>
        </w:rPr>
        <w:t xml:space="preserve">Shock indicator</w:t>
      </w:r>
    </w:p>
    <w:p w:rsidR="00000000" w:rsidDel="00000000" w:rsidP="00000000" w:rsidRDefault="00000000" w:rsidRPr="00000000" w14:paraId="00000064">
      <w:pPr>
        <w:pStyle w:val="Heading1"/>
        <w:rPr/>
      </w:pPr>
      <w:bookmarkStart w:colFirst="0" w:colLast="0" w:name="_heading=h.5oiu1nks6o65" w:id="12"/>
      <w:bookmarkEnd w:id="12"/>
      <w:r w:rsidDel="00000000" w:rsidR="00000000" w:rsidRPr="00000000">
        <w:rPr>
          <w:rtl w:val="0"/>
        </w:rPr>
        <w:t xml:space="preserve">Warranty</w:t>
      </w:r>
    </w:p>
    <w:p w:rsidR="00000000" w:rsidDel="00000000" w:rsidP="00000000" w:rsidRDefault="00000000" w:rsidRPr="00000000" w14:paraId="00000065">
      <w:pPr>
        <w:numPr>
          <w:ilvl w:val="0"/>
          <w:numId w:val="2"/>
        </w:numPr>
        <w:ind w:left="720" w:hanging="360"/>
        <w:rPr/>
      </w:pPr>
      <w:r w:rsidDel="00000000" w:rsidR="00000000" w:rsidRPr="00000000">
        <w:rPr>
          <w:rtl w:val="0"/>
        </w:rPr>
        <w:t xml:space="preserve">The vendor warrants that all Contract Product(s) delivered by the vendor to NSRRC shall be of new manufacture, free from defects in material, workmanship.</w:t>
      </w:r>
    </w:p>
    <w:p w:rsidR="00000000" w:rsidDel="00000000" w:rsidP="00000000" w:rsidRDefault="00000000" w:rsidRPr="00000000" w14:paraId="00000066">
      <w:pPr>
        <w:numPr>
          <w:ilvl w:val="0"/>
          <w:numId w:val="2"/>
        </w:numPr>
        <w:ind w:left="720" w:hanging="360"/>
        <w:rPr/>
      </w:pPr>
      <w:r w:rsidDel="00000000" w:rsidR="00000000" w:rsidRPr="00000000">
        <w:rPr>
          <w:rtl w:val="0"/>
        </w:rPr>
        <w:t xml:space="preserve">The warranty will remain in force for 12 months from NSRRC's acceptance.</w:t>
      </w:r>
    </w:p>
    <w:sectPr>
      <w:footerReference r:id="rId10"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7">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zh_TW"/>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style>
  <w:style w:type="table" w:styleId="TableNormal" w:default="1">
    <w:name w:val="Table Normal"/>
  </w:style>
  <w:style w:type="paragraph" w:styleId="Subtitle">
    <w:name w:val="Subtitle"/>
    <w:basedOn w:val="Normal"/>
    <w:next w:val="Normal"/>
    <w:pPr>
      <w:keepNext w:val="1"/>
      <w:keepLines w:val="1"/>
      <w:spacing w:after="320" w:lineRule="auto"/>
    </w:pPr>
    <w:rPr>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sOlA2QXZW2fGYBR7eO8TPilaFQ==">CgMxLjAaJAoBMBIfCh0IB0IZCgVBcmltbxIQQXJpYWwgVW5pY29kZSBNUxokCgExEh8KHQgHQhkKBUFyaW1vEhBBcmlhbCBVbmljb2RlIE1TGiQKATISHwodCAdCGQoFQXJpbW8SEEFyaWFsIFVuaWNvZGUgTVMyDmgucnpzMmZpNmV3d2Z0Mg5oLnRkamRiaHk0eHdiMzIOaC5mMWt2NGdoNjV2b2gyDmguNzZ5MXEwcGhoeTFqMg5oLmlheDg1NmpkdWtkYzIOaC4zMDBjZDBuZTZzZXoyDmgubndlZzA2cWE1enEwMg5oLml6bTF4ZDIzcWM3bTIOaC5iNDlqeGVlbzBsaXAyDmguc2JnOHlvOGszbmJxMg5oLjVraTRuMWs1NDN1eTIOaC4yeHU1ejh6MzdvdmEyDmguNW9pdTFua3M2bzY1OAByITFham5tUzJBNERvTkZCZWlIT2R1ZE5fQ2ZPLVpDdFJ4R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